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2955A">
      <w:pPr>
        <w:spacing w:line="355" w:lineRule="auto"/>
        <w:rPr>
          <w:rFonts w:ascii="Arial"/>
          <w:sz w:val="21"/>
        </w:rPr>
      </w:pPr>
    </w:p>
    <w:p w14:paraId="4F2BE866">
      <w:pPr>
        <w:spacing w:line="355" w:lineRule="auto"/>
        <w:rPr>
          <w:rFonts w:ascii="Arial"/>
          <w:sz w:val="21"/>
        </w:rPr>
      </w:pPr>
    </w:p>
    <w:p w14:paraId="4C0321EF">
      <w:pPr>
        <w:spacing w:line="253"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巴彦淖尔市综合性知识产权</w:t>
      </w:r>
    </w:p>
    <w:p w14:paraId="053E9496">
      <w:pPr>
        <w:spacing w:line="253"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公共服务机构工作指引</w:t>
      </w:r>
    </w:p>
    <w:p w14:paraId="26237037">
      <w:pPr>
        <w:spacing w:line="253" w:lineRule="auto"/>
        <w:rPr>
          <w:rFonts w:ascii="Arial"/>
          <w:sz w:val="21"/>
        </w:rPr>
      </w:pPr>
    </w:p>
    <w:p w14:paraId="6BBDAC5F">
      <w:pPr>
        <w:spacing w:before="114" w:line="225" w:lineRule="auto"/>
        <w:ind w:left="3431"/>
        <w:outlineLvl w:val="0"/>
        <w:rPr>
          <w:rFonts w:ascii="宋体" w:hAnsi="宋体" w:eastAsia="宋体" w:cs="宋体"/>
          <w:b/>
          <w:bCs/>
          <w:sz w:val="35"/>
          <w:szCs w:val="35"/>
        </w:rPr>
      </w:pPr>
      <w:r>
        <w:rPr>
          <w:rFonts w:ascii="宋体" w:hAnsi="宋体" w:eastAsia="宋体" w:cs="宋体"/>
          <w:b/>
          <w:bCs/>
          <w:sz w:val="35"/>
          <w:szCs w:val="35"/>
        </w:rPr>
        <w:t>第一章</w:t>
      </w:r>
      <w:r>
        <w:rPr>
          <w:rFonts w:hint="eastAsia" w:ascii="宋体" w:hAnsi="宋体" w:eastAsia="宋体" w:cs="宋体"/>
          <w:b/>
          <w:bCs/>
          <w:sz w:val="35"/>
          <w:szCs w:val="35"/>
          <w:lang w:val="en-US" w:eastAsia="zh-CN"/>
        </w:rPr>
        <w:t xml:space="preserve"> </w:t>
      </w:r>
      <w:r>
        <w:rPr>
          <w:rFonts w:ascii="宋体" w:hAnsi="宋体" w:eastAsia="宋体" w:cs="宋体"/>
          <w:b/>
          <w:bCs/>
          <w:sz w:val="35"/>
          <w:szCs w:val="35"/>
        </w:rPr>
        <w:t>总则</w:t>
      </w:r>
    </w:p>
    <w:p w14:paraId="28B25DB0">
      <w:pPr>
        <w:pStyle w:val="2"/>
        <w:spacing w:before="173" w:line="327" w:lineRule="auto"/>
        <w:ind w:right="113" w:firstLine="640"/>
        <w:jc w:val="both"/>
      </w:pPr>
      <w:r>
        <w:rPr>
          <w:rFonts w:ascii="黑体" w:hAnsi="黑体" w:eastAsia="黑体" w:cs="黑体"/>
          <w:spacing w:val="7"/>
        </w:rPr>
        <w:t>第一条</w:t>
      </w:r>
      <w:r>
        <w:rPr>
          <w:rFonts w:hint="eastAsia" w:ascii="黑体" w:hAnsi="黑体" w:eastAsia="黑体" w:cs="黑体"/>
          <w:spacing w:val="7"/>
          <w:lang w:val="en-US" w:eastAsia="zh-CN"/>
        </w:rPr>
        <w:t xml:space="preserve"> </w:t>
      </w:r>
      <w:r>
        <w:rPr>
          <w:spacing w:val="7"/>
        </w:rPr>
        <w:t>为深入贯彻落实《知识产权强国建设纲要（2021—</w:t>
      </w:r>
      <w:r>
        <w:rPr>
          <w:spacing w:val="-18"/>
        </w:rPr>
        <w:t>2035年）》、《“十四五”国家知识产权保护和运用规划》以及《知</w:t>
      </w:r>
      <w:r>
        <w:rPr>
          <w:spacing w:val="5"/>
        </w:rPr>
        <w:t>识产权公共服务“十四五”规划》相关目标和任务，引导支持</w:t>
      </w:r>
      <w:r>
        <w:rPr>
          <w:rFonts w:hint="eastAsia"/>
          <w:spacing w:val="5"/>
          <w:lang w:val="en-US" w:eastAsia="zh-CN"/>
        </w:rPr>
        <w:t>我市</w:t>
      </w:r>
      <w:r>
        <w:rPr>
          <w:spacing w:val="5"/>
        </w:rPr>
        <w:t>综合性知识产权公共服务机构建设，扩大知识产权公共服务</w:t>
      </w:r>
      <w:r>
        <w:rPr>
          <w:spacing w:val="8"/>
        </w:rPr>
        <w:t>覆盖面，结合工作实际，制订本工作指引。</w:t>
      </w:r>
    </w:p>
    <w:p w14:paraId="490590E2">
      <w:pPr>
        <w:pStyle w:val="2"/>
        <w:spacing w:before="51" w:line="329" w:lineRule="auto"/>
        <w:ind w:left="2" w:right="110" w:firstLine="638"/>
        <w:jc w:val="both"/>
      </w:pPr>
      <w:r>
        <w:rPr>
          <w:rFonts w:ascii="黑体" w:hAnsi="黑体" w:eastAsia="黑体" w:cs="黑体"/>
          <w:spacing w:val="11"/>
        </w:rPr>
        <w:t>第二条</w:t>
      </w:r>
      <w:r>
        <w:rPr>
          <w:rFonts w:hint="eastAsia" w:ascii="黑体" w:hAnsi="黑体" w:eastAsia="黑体" w:cs="黑体"/>
          <w:spacing w:val="11"/>
          <w:lang w:val="en-US" w:eastAsia="zh-CN"/>
        </w:rPr>
        <w:t xml:space="preserve"> </w:t>
      </w:r>
      <w:r>
        <w:rPr>
          <w:rFonts w:hint="eastAsia"/>
          <w:spacing w:val="11"/>
          <w:lang w:val="en-US" w:eastAsia="zh-CN"/>
        </w:rPr>
        <w:t>巴彦淖尔市</w:t>
      </w:r>
      <w:r>
        <w:rPr>
          <w:spacing w:val="11"/>
        </w:rPr>
        <w:t>综合性知识产权公共服务机构，是由</w:t>
      </w:r>
      <w:r>
        <w:rPr>
          <w:rFonts w:hint="eastAsia"/>
          <w:spacing w:val="11"/>
          <w:lang w:val="en-US" w:eastAsia="zh-CN"/>
        </w:rPr>
        <w:t>我市</w:t>
      </w:r>
      <w:r>
        <w:rPr>
          <w:spacing w:val="5"/>
        </w:rPr>
        <w:t>知识产权管理部门依托现有公共服务资源组织建设的，面向</w:t>
      </w:r>
      <w:r>
        <w:rPr>
          <w:rFonts w:hint="eastAsia"/>
          <w:spacing w:val="5"/>
          <w:lang w:val="en-US" w:eastAsia="zh-CN"/>
        </w:rPr>
        <w:t>巴彦淖尔市</w:t>
      </w:r>
      <w:r>
        <w:rPr>
          <w:spacing w:val="5"/>
        </w:rPr>
        <w:t>域内各类创新主体和社会公众，提供专利、商标、地理标志、集成电路布图设计等领域综合性知识产权公共服务的各类中心。综合性知识产权公共服务机构是知识产权公共服务体系的重要组成部分，在打通知识产权公共服务“最后一公里”方</w:t>
      </w:r>
      <w:r>
        <w:rPr>
          <w:spacing w:val="8"/>
        </w:rPr>
        <w:t>面发挥着积极而重要的作用。</w:t>
      </w:r>
    </w:p>
    <w:p w14:paraId="5F97EA8B">
      <w:pPr>
        <w:pStyle w:val="2"/>
        <w:spacing w:before="52" w:line="317" w:lineRule="auto"/>
        <w:ind w:left="29" w:right="113" w:firstLine="610"/>
      </w:pPr>
      <w:r>
        <w:rPr>
          <w:rFonts w:ascii="黑体" w:hAnsi="黑体" w:eastAsia="黑体" w:cs="黑体"/>
          <w:spacing w:val="11"/>
        </w:rPr>
        <w:t>第三条</w:t>
      </w:r>
      <w:r>
        <w:rPr>
          <w:rFonts w:hint="eastAsia" w:ascii="黑体" w:hAnsi="黑体" w:eastAsia="黑体" w:cs="黑体"/>
          <w:spacing w:val="11"/>
          <w:lang w:val="en-US" w:eastAsia="zh-CN"/>
        </w:rPr>
        <w:t xml:space="preserve"> </w:t>
      </w:r>
      <w:r>
        <w:rPr>
          <w:spacing w:val="11"/>
        </w:rPr>
        <w:t>本指引所指地市级综合性知识产权公共服务机</w:t>
      </w:r>
      <w:r>
        <w:rPr>
          <w:spacing w:val="10"/>
        </w:rPr>
        <w:t>构中</w:t>
      </w:r>
      <w:r>
        <w:rPr>
          <w:spacing w:val="8"/>
        </w:rPr>
        <w:t>的地市级范围以《中华人民共和国行政区划统计表》为准。</w:t>
      </w:r>
    </w:p>
    <w:p w14:paraId="742EF8F2">
      <w:pPr>
        <w:pStyle w:val="2"/>
        <w:spacing w:before="59" w:line="322" w:lineRule="auto"/>
        <w:ind w:firstLine="640"/>
      </w:pPr>
      <w:r>
        <w:rPr>
          <w:rFonts w:ascii="黑体" w:hAnsi="黑体" w:eastAsia="黑体" w:cs="黑体"/>
          <w:spacing w:val="11"/>
        </w:rPr>
        <w:t>第四条</w:t>
      </w:r>
      <w:r>
        <w:rPr>
          <w:rFonts w:hint="eastAsia" w:ascii="黑体" w:hAnsi="黑体" w:eastAsia="黑体" w:cs="黑体"/>
          <w:spacing w:val="11"/>
          <w:lang w:val="en-US" w:eastAsia="zh-CN"/>
        </w:rPr>
        <w:t xml:space="preserve"> </w:t>
      </w:r>
      <w:r>
        <w:rPr>
          <w:spacing w:val="7"/>
        </w:rPr>
        <w:t>鼓励支持有条件的</w:t>
      </w:r>
      <w:r>
        <w:rPr>
          <w:rFonts w:hint="eastAsia"/>
          <w:spacing w:val="7"/>
          <w:lang w:val="en-US" w:eastAsia="zh-CN"/>
        </w:rPr>
        <w:t>旗县区</w:t>
      </w:r>
      <w:r>
        <w:rPr>
          <w:spacing w:val="9"/>
        </w:rPr>
        <w:t>建设适应本地区创新发展需求的综合性知识产权公共服务机构。</w:t>
      </w:r>
    </w:p>
    <w:p w14:paraId="17AFB708">
      <w:pPr>
        <w:spacing w:line="322" w:lineRule="auto"/>
        <w:sectPr>
          <w:footerReference r:id="rId5" w:type="default"/>
          <w:pgSz w:w="11906" w:h="16839"/>
          <w:pgMar w:top="1431" w:right="1362" w:bottom="1555" w:left="1598" w:header="0" w:footer="1275" w:gutter="0"/>
          <w:cols w:space="720" w:num="1"/>
        </w:sectPr>
      </w:pPr>
    </w:p>
    <w:p w14:paraId="2ED076D8">
      <w:pPr>
        <w:spacing w:line="247" w:lineRule="auto"/>
        <w:rPr>
          <w:rFonts w:ascii="Arial"/>
          <w:sz w:val="21"/>
        </w:rPr>
      </w:pPr>
    </w:p>
    <w:p w14:paraId="48DD10A8">
      <w:pPr>
        <w:spacing w:line="248" w:lineRule="auto"/>
        <w:rPr>
          <w:rFonts w:ascii="Arial"/>
          <w:sz w:val="21"/>
        </w:rPr>
      </w:pPr>
    </w:p>
    <w:p w14:paraId="10421E56">
      <w:pPr>
        <w:spacing w:line="248" w:lineRule="auto"/>
        <w:rPr>
          <w:rFonts w:ascii="Arial"/>
          <w:sz w:val="21"/>
        </w:rPr>
      </w:pPr>
    </w:p>
    <w:p w14:paraId="4606BED6">
      <w:pPr>
        <w:spacing w:before="113" w:line="225" w:lineRule="auto"/>
        <w:ind w:left="3067"/>
        <w:outlineLvl w:val="0"/>
        <w:rPr>
          <w:rFonts w:ascii="宋体" w:hAnsi="宋体" w:eastAsia="宋体" w:cs="宋体"/>
          <w:sz w:val="35"/>
          <w:szCs w:val="35"/>
        </w:rPr>
      </w:pPr>
      <w:r>
        <w:rPr>
          <w:rFonts w:ascii="宋体" w:hAnsi="宋体" w:eastAsia="宋体" w:cs="宋体"/>
          <w:b/>
          <w:bCs/>
          <w:spacing w:val="5"/>
          <w:sz w:val="35"/>
          <w:szCs w:val="35"/>
        </w:rPr>
        <w:t>第二章</w:t>
      </w:r>
      <w:r>
        <w:rPr>
          <w:rFonts w:hint="eastAsia" w:ascii="宋体" w:hAnsi="宋体" w:eastAsia="宋体" w:cs="宋体"/>
          <w:b/>
          <w:bCs/>
          <w:spacing w:val="5"/>
          <w:sz w:val="35"/>
          <w:szCs w:val="35"/>
          <w:lang w:val="en-US" w:eastAsia="zh-CN"/>
        </w:rPr>
        <w:t xml:space="preserve"> </w:t>
      </w:r>
      <w:r>
        <w:rPr>
          <w:rFonts w:ascii="宋体" w:hAnsi="宋体" w:eastAsia="宋体" w:cs="宋体"/>
          <w:b/>
          <w:bCs/>
          <w:spacing w:val="5"/>
          <w:sz w:val="35"/>
          <w:szCs w:val="35"/>
        </w:rPr>
        <w:t>服务内容</w:t>
      </w:r>
    </w:p>
    <w:p w14:paraId="0A6EE5EA">
      <w:pPr>
        <w:pStyle w:val="2"/>
        <w:spacing w:before="148" w:line="317" w:lineRule="auto"/>
        <w:ind w:right="54" w:firstLine="639"/>
        <w:jc w:val="both"/>
      </w:pPr>
      <w:r>
        <w:rPr>
          <w:rFonts w:ascii="黑体" w:hAnsi="黑体" w:eastAsia="黑体" w:cs="黑体"/>
          <w:spacing w:val="9"/>
        </w:rPr>
        <w:t>第五条</w:t>
      </w:r>
      <w:r>
        <w:rPr>
          <w:rFonts w:hint="eastAsia" w:ascii="黑体" w:hAnsi="黑体" w:eastAsia="黑体" w:cs="黑体"/>
          <w:spacing w:val="9"/>
          <w:lang w:val="en-US" w:eastAsia="zh-CN"/>
        </w:rPr>
        <w:t xml:space="preserve"> </w:t>
      </w:r>
      <w:r>
        <w:rPr>
          <w:spacing w:val="9"/>
        </w:rPr>
        <w:t>围绕知识产权创造、运用、保护、管理、服务等主</w:t>
      </w:r>
      <w:r>
        <w:rPr>
          <w:spacing w:val="5"/>
        </w:rPr>
        <w:t>要环节，根据</w:t>
      </w:r>
      <w:r>
        <w:rPr>
          <w:rFonts w:hint="eastAsia"/>
          <w:spacing w:val="5"/>
          <w:lang w:val="en-US" w:eastAsia="zh-CN"/>
        </w:rPr>
        <w:t>本</w:t>
      </w:r>
      <w:r>
        <w:rPr>
          <w:spacing w:val="5"/>
        </w:rPr>
        <w:t>地产业发展需要和创新需求，面向创新主体和社会公众，提供知识产权信息查询检索、业务咨询、宣传培训等综合性公共服务，不断提升知识产权公共服务效能，促进知识产权公共服务普惠化、便利化和可及性，为</w:t>
      </w:r>
      <w:r>
        <w:rPr>
          <w:rFonts w:hint="eastAsia"/>
          <w:spacing w:val="5"/>
          <w:lang w:val="en-US" w:eastAsia="zh-CN"/>
        </w:rPr>
        <w:t>本</w:t>
      </w:r>
      <w:r>
        <w:rPr>
          <w:spacing w:val="5"/>
        </w:rPr>
        <w:t>地创新发展和经济高质</w:t>
      </w:r>
      <w:r>
        <w:rPr>
          <w:spacing w:val="7"/>
        </w:rPr>
        <w:t>量发展提供有力支撑。</w:t>
      </w:r>
    </w:p>
    <w:p w14:paraId="354F6350">
      <w:pPr>
        <w:pStyle w:val="2"/>
        <w:spacing w:before="51" w:line="311" w:lineRule="auto"/>
        <w:ind w:right="54" w:firstLine="639"/>
        <w:jc w:val="both"/>
      </w:pPr>
      <w:r>
        <w:rPr>
          <w:rFonts w:ascii="黑体" w:hAnsi="黑体" w:eastAsia="黑体" w:cs="黑体"/>
          <w:spacing w:val="11"/>
        </w:rPr>
        <w:t>第六条</w:t>
      </w:r>
      <w:r>
        <w:rPr>
          <w:rFonts w:hint="eastAsia" w:ascii="黑体" w:hAnsi="黑体" w:eastAsia="黑体" w:cs="黑体"/>
          <w:spacing w:val="11"/>
          <w:lang w:val="en-US" w:eastAsia="zh-CN"/>
        </w:rPr>
        <w:t xml:space="preserve"> </w:t>
      </w:r>
      <w:r>
        <w:rPr>
          <w:spacing w:val="11"/>
        </w:rPr>
        <w:t>面向本区域内各类创新主体和社会公众提供信</w:t>
      </w:r>
      <w:r>
        <w:rPr>
          <w:spacing w:val="10"/>
        </w:rPr>
        <w:t>息查</w:t>
      </w:r>
      <w:r>
        <w:rPr>
          <w:spacing w:val="5"/>
        </w:rPr>
        <w:t>询检索、业务咨询、宣传培训等综合性知识产权公共服务，包括但不限于：</w:t>
      </w:r>
    </w:p>
    <w:p w14:paraId="2FB638AD">
      <w:pPr>
        <w:pStyle w:val="2"/>
        <w:spacing w:before="56" w:line="222" w:lineRule="auto"/>
        <w:ind w:left="631"/>
      </w:pPr>
      <w:r>
        <w:rPr>
          <w:spacing w:val="4"/>
        </w:rPr>
        <w:t>（一）开展知识产权业务办理咨询服务；</w:t>
      </w:r>
    </w:p>
    <w:p w14:paraId="54E32578">
      <w:pPr>
        <w:pStyle w:val="2"/>
        <w:spacing w:before="166" w:line="220" w:lineRule="auto"/>
        <w:ind w:left="631"/>
      </w:pPr>
      <w:r>
        <w:rPr>
          <w:spacing w:val="4"/>
        </w:rPr>
        <w:t>（二）开展知识产权信息查询检索服务；</w:t>
      </w:r>
    </w:p>
    <w:p w14:paraId="1EBB2D9B">
      <w:pPr>
        <w:pStyle w:val="2"/>
        <w:spacing w:before="170" w:line="222" w:lineRule="auto"/>
        <w:ind w:left="631"/>
      </w:pPr>
      <w:r>
        <w:rPr>
          <w:spacing w:val="4"/>
        </w:rPr>
        <w:t>（三）开展知识产权信息分析利用服务；</w:t>
      </w:r>
    </w:p>
    <w:p w14:paraId="5D79752C">
      <w:pPr>
        <w:pStyle w:val="2"/>
        <w:spacing w:before="168" w:line="222" w:lineRule="auto"/>
        <w:ind w:left="631"/>
      </w:pPr>
      <w:r>
        <w:rPr>
          <w:spacing w:val="3"/>
        </w:rPr>
        <w:t>（四）开展知识产权基础知识培训服务。</w:t>
      </w:r>
    </w:p>
    <w:p w14:paraId="6574BBB1">
      <w:pPr>
        <w:pStyle w:val="2"/>
        <w:spacing w:before="166" w:line="313" w:lineRule="auto"/>
        <w:ind w:left="1" w:firstLine="638"/>
        <w:jc w:val="both"/>
      </w:pPr>
      <w:r>
        <w:rPr>
          <w:rFonts w:ascii="黑体" w:hAnsi="黑体" w:eastAsia="黑体" w:cs="黑体"/>
          <w:spacing w:val="11"/>
        </w:rPr>
        <w:t>第七条</w:t>
      </w:r>
      <w:r>
        <w:rPr>
          <w:rFonts w:hint="eastAsia" w:ascii="黑体" w:hAnsi="黑体" w:eastAsia="黑体" w:cs="黑体"/>
          <w:spacing w:val="11"/>
          <w:lang w:val="en-US" w:eastAsia="zh-CN"/>
        </w:rPr>
        <w:t xml:space="preserve"> </w:t>
      </w:r>
      <w:r>
        <w:rPr>
          <w:spacing w:val="11"/>
        </w:rPr>
        <w:t>鼓励有能力的机构围绕本地区优势产业和创新</w:t>
      </w:r>
      <w:r>
        <w:rPr>
          <w:spacing w:val="10"/>
        </w:rPr>
        <w:t>发展</w:t>
      </w:r>
      <w:r>
        <w:rPr>
          <w:spacing w:val="5"/>
        </w:rPr>
        <w:t>共性需求，立足自身资源优势，面向政府决策、科技创新、产业</w:t>
      </w:r>
      <w:r>
        <w:rPr>
          <w:spacing w:val="7"/>
        </w:rPr>
        <w:t>发展，开展知识产权战略咨询、产业检索分析、行业规划研究、</w:t>
      </w:r>
      <w:r>
        <w:rPr>
          <w:spacing w:val="9"/>
        </w:rPr>
        <w:t>知识产权风险预警、业务交流合作等，不断拓展服务领域。</w:t>
      </w:r>
    </w:p>
    <w:p w14:paraId="7E61F43D">
      <w:pPr>
        <w:pStyle w:val="2"/>
        <w:spacing w:before="54" w:line="314" w:lineRule="auto"/>
        <w:ind w:left="1" w:right="54" w:firstLine="638"/>
        <w:jc w:val="both"/>
      </w:pPr>
      <w:r>
        <w:rPr>
          <w:rFonts w:ascii="黑体" w:hAnsi="黑体" w:eastAsia="黑体" w:cs="黑体"/>
          <w:spacing w:val="11"/>
        </w:rPr>
        <w:t>第八条</w:t>
      </w:r>
      <w:r>
        <w:rPr>
          <w:rFonts w:hint="eastAsia" w:ascii="黑体" w:hAnsi="黑体" w:eastAsia="黑体" w:cs="黑体"/>
          <w:spacing w:val="11"/>
          <w:lang w:val="en-US" w:eastAsia="zh-CN"/>
        </w:rPr>
        <w:t xml:space="preserve"> </w:t>
      </w:r>
      <w:r>
        <w:rPr>
          <w:spacing w:val="11"/>
        </w:rPr>
        <w:t>综合性知识产权公共服务机构要加强知</w:t>
      </w:r>
      <w:r>
        <w:rPr>
          <w:spacing w:val="10"/>
        </w:rPr>
        <w:t>识产</w:t>
      </w:r>
      <w:r>
        <w:rPr>
          <w:spacing w:val="5"/>
        </w:rPr>
        <w:t>权公共服务清单化管理，充分利用和宣传推广各级各类信息公共服务平台以及相关信息公共服务产品，助力创新主体降低创新成</w:t>
      </w:r>
      <w:r>
        <w:rPr>
          <w:spacing w:val="7"/>
        </w:rPr>
        <w:t>本，缩短创新周期。</w:t>
      </w:r>
    </w:p>
    <w:p w14:paraId="25963BBF">
      <w:pPr>
        <w:spacing w:line="314" w:lineRule="auto"/>
        <w:sectPr>
          <w:footerReference r:id="rId6" w:type="default"/>
          <w:pgSz w:w="11906" w:h="16839"/>
          <w:pgMar w:top="1431" w:right="1421" w:bottom="1553" w:left="1599" w:header="0" w:footer="1275" w:gutter="0"/>
          <w:cols w:space="720" w:num="1"/>
        </w:sectPr>
      </w:pPr>
    </w:p>
    <w:p w14:paraId="6E505913">
      <w:pPr>
        <w:spacing w:line="247" w:lineRule="auto"/>
        <w:rPr>
          <w:rFonts w:ascii="Arial"/>
          <w:sz w:val="21"/>
        </w:rPr>
      </w:pPr>
    </w:p>
    <w:p w14:paraId="6D0C39FF">
      <w:pPr>
        <w:spacing w:line="248" w:lineRule="auto"/>
        <w:rPr>
          <w:rFonts w:ascii="Arial"/>
          <w:sz w:val="21"/>
        </w:rPr>
      </w:pPr>
    </w:p>
    <w:p w14:paraId="3A5FB6BD">
      <w:pPr>
        <w:spacing w:line="248" w:lineRule="auto"/>
        <w:rPr>
          <w:rFonts w:ascii="Arial"/>
          <w:sz w:val="21"/>
        </w:rPr>
      </w:pPr>
    </w:p>
    <w:p w14:paraId="66DFCA8B">
      <w:pPr>
        <w:spacing w:before="113" w:line="225" w:lineRule="auto"/>
        <w:ind w:left="3070"/>
        <w:outlineLvl w:val="0"/>
        <w:rPr>
          <w:rFonts w:ascii="宋体" w:hAnsi="宋体" w:eastAsia="宋体" w:cs="宋体"/>
          <w:sz w:val="35"/>
          <w:szCs w:val="35"/>
        </w:rPr>
      </w:pPr>
      <w:r>
        <w:rPr>
          <w:rFonts w:ascii="宋体" w:hAnsi="宋体" w:eastAsia="宋体" w:cs="宋体"/>
          <w:b/>
          <w:bCs/>
          <w:spacing w:val="5"/>
          <w:sz w:val="35"/>
          <w:szCs w:val="35"/>
        </w:rPr>
        <w:t>第三章</w:t>
      </w:r>
      <w:r>
        <w:rPr>
          <w:rFonts w:hint="eastAsia" w:ascii="宋体" w:hAnsi="宋体" w:eastAsia="宋体" w:cs="宋体"/>
          <w:b/>
          <w:bCs/>
          <w:spacing w:val="5"/>
          <w:sz w:val="35"/>
          <w:szCs w:val="35"/>
          <w:lang w:val="en-US" w:eastAsia="zh-CN"/>
        </w:rPr>
        <w:t xml:space="preserve"> </w:t>
      </w:r>
      <w:r>
        <w:rPr>
          <w:rFonts w:ascii="宋体" w:hAnsi="宋体" w:eastAsia="宋体" w:cs="宋体"/>
          <w:b/>
          <w:bCs/>
          <w:spacing w:val="5"/>
          <w:sz w:val="35"/>
          <w:szCs w:val="35"/>
        </w:rPr>
        <w:t>建设方式</w:t>
      </w:r>
    </w:p>
    <w:p w14:paraId="646501F6">
      <w:pPr>
        <w:pStyle w:val="2"/>
        <w:spacing w:before="170" w:line="326" w:lineRule="auto"/>
        <w:ind w:firstLine="642"/>
        <w:jc w:val="both"/>
      </w:pPr>
      <w:r>
        <w:rPr>
          <w:rFonts w:ascii="黑体" w:hAnsi="黑体" w:eastAsia="黑体" w:cs="黑体"/>
          <w:spacing w:val="11"/>
        </w:rPr>
        <w:t>第九条</w:t>
      </w:r>
      <w:r>
        <w:rPr>
          <w:rFonts w:hint="eastAsia" w:ascii="黑体" w:hAnsi="黑体" w:eastAsia="黑体" w:cs="黑体"/>
          <w:spacing w:val="11"/>
          <w:lang w:val="en-US" w:eastAsia="zh-CN"/>
        </w:rPr>
        <w:t xml:space="preserve"> </w:t>
      </w:r>
      <w:r>
        <w:rPr>
          <w:spacing w:val="11"/>
        </w:rPr>
        <w:t>知识产权管理部门负责本地区综合性知</w:t>
      </w:r>
      <w:r>
        <w:rPr>
          <w:spacing w:val="10"/>
        </w:rPr>
        <w:t>识产</w:t>
      </w:r>
      <w:r>
        <w:rPr>
          <w:spacing w:val="5"/>
        </w:rPr>
        <w:t>权公共服务机构的建设和运行指导，应当充分依托现有知识产权相关机构，有机整合公共服务资源，结合</w:t>
      </w:r>
      <w:r>
        <w:rPr>
          <w:rFonts w:hint="eastAsia"/>
          <w:spacing w:val="5"/>
          <w:lang w:val="en-US" w:eastAsia="zh-CN"/>
        </w:rPr>
        <w:t>我市</w:t>
      </w:r>
      <w:r>
        <w:rPr>
          <w:spacing w:val="5"/>
        </w:rPr>
        <w:t>实际，组建综合性</w:t>
      </w:r>
      <w:r>
        <w:rPr>
          <w:spacing w:val="8"/>
        </w:rPr>
        <w:t>知识产权公共服务机构。</w:t>
      </w:r>
    </w:p>
    <w:p w14:paraId="6A2350CF">
      <w:pPr>
        <w:pStyle w:val="2"/>
        <w:spacing w:before="52" w:line="327" w:lineRule="auto"/>
        <w:ind w:left="1" w:right="2" w:firstLine="640"/>
        <w:jc w:val="both"/>
      </w:pPr>
      <w:r>
        <w:rPr>
          <w:rFonts w:ascii="黑体" w:hAnsi="黑体" w:eastAsia="黑体" w:cs="黑体"/>
          <w:spacing w:val="11"/>
        </w:rPr>
        <w:t>第十条</w:t>
      </w:r>
      <w:r>
        <w:rPr>
          <w:rFonts w:hint="eastAsia" w:ascii="黑体" w:hAnsi="黑体" w:eastAsia="黑体" w:cs="黑体"/>
          <w:spacing w:val="11"/>
          <w:lang w:val="en-US" w:eastAsia="zh-CN"/>
        </w:rPr>
        <w:t xml:space="preserve"> </w:t>
      </w:r>
      <w:r>
        <w:rPr>
          <w:rFonts w:hint="eastAsia"/>
          <w:spacing w:val="11"/>
          <w:lang w:val="en-US" w:eastAsia="zh-CN"/>
        </w:rPr>
        <w:t>市</w:t>
      </w:r>
      <w:r>
        <w:rPr>
          <w:spacing w:val="11"/>
        </w:rPr>
        <w:t>级知识产权管理部门负责</w:t>
      </w:r>
      <w:r>
        <w:rPr>
          <w:rFonts w:hint="eastAsia"/>
          <w:spacing w:val="11"/>
          <w:lang w:val="en-US" w:eastAsia="zh-CN"/>
        </w:rPr>
        <w:t>市</w:t>
      </w:r>
      <w:r>
        <w:rPr>
          <w:spacing w:val="11"/>
        </w:rPr>
        <w:t>域内</w:t>
      </w:r>
      <w:r>
        <w:rPr>
          <w:rFonts w:hint="eastAsia"/>
          <w:spacing w:val="11"/>
          <w:lang w:val="en-US" w:eastAsia="zh-CN"/>
        </w:rPr>
        <w:t>旗县区</w:t>
      </w:r>
      <w:r>
        <w:rPr>
          <w:spacing w:val="10"/>
        </w:rPr>
        <w:t>级综</w:t>
      </w:r>
      <w:r>
        <w:rPr>
          <w:spacing w:val="5"/>
        </w:rPr>
        <w:t>合性知识产权公共服务机构的统筹协调和业务指导。建立健全知识产权公共服务经验交流机制、服务协作机制以及服务资源和成果共享机制，积极为</w:t>
      </w:r>
      <w:r>
        <w:rPr>
          <w:rFonts w:hint="eastAsia"/>
          <w:spacing w:val="5"/>
          <w:lang w:val="en-US" w:eastAsia="zh-CN"/>
        </w:rPr>
        <w:t>旗县区</w:t>
      </w:r>
      <w:r>
        <w:rPr>
          <w:spacing w:val="5"/>
        </w:rPr>
        <w:t>级综合性知识产权公共服务机构搭建交</w:t>
      </w:r>
      <w:r>
        <w:rPr>
          <w:spacing w:val="9"/>
        </w:rPr>
        <w:t>流合作平台，不断提升知识产权公共服务效</w:t>
      </w:r>
      <w:r>
        <w:rPr>
          <w:spacing w:val="8"/>
        </w:rPr>
        <w:t>能。</w:t>
      </w:r>
    </w:p>
    <w:p w14:paraId="6AE8E318">
      <w:pPr>
        <w:pStyle w:val="2"/>
        <w:spacing w:before="50" w:line="323" w:lineRule="auto"/>
        <w:ind w:left="10" w:right="2" w:firstLine="632"/>
        <w:jc w:val="both"/>
      </w:pPr>
      <w:r>
        <w:rPr>
          <w:rFonts w:ascii="黑体" w:hAnsi="黑体" w:eastAsia="黑体" w:cs="黑体"/>
          <w:spacing w:val="9"/>
        </w:rPr>
        <w:t>第十</w:t>
      </w:r>
      <w:r>
        <w:rPr>
          <w:rFonts w:hint="eastAsia" w:ascii="黑体" w:hAnsi="黑体" w:eastAsia="黑体" w:cs="黑体"/>
          <w:spacing w:val="9"/>
          <w:lang w:val="en-US" w:eastAsia="zh-CN"/>
        </w:rPr>
        <w:t>一</w:t>
      </w:r>
      <w:r>
        <w:rPr>
          <w:rFonts w:ascii="黑体" w:hAnsi="黑体" w:eastAsia="黑体" w:cs="黑体"/>
          <w:spacing w:val="9"/>
        </w:rPr>
        <w:t>条</w:t>
      </w:r>
      <w:r>
        <w:rPr>
          <w:rFonts w:hint="eastAsia" w:ascii="黑体" w:hAnsi="黑体" w:eastAsia="黑体" w:cs="黑体"/>
          <w:spacing w:val="9"/>
          <w:lang w:val="en-US" w:eastAsia="zh-CN"/>
        </w:rPr>
        <w:t xml:space="preserve"> </w:t>
      </w:r>
      <w:r>
        <w:rPr>
          <w:rFonts w:hint="eastAsia"/>
          <w:spacing w:val="9"/>
          <w:lang w:val="en-US" w:eastAsia="zh-CN"/>
        </w:rPr>
        <w:t>巴彦淖尔市</w:t>
      </w:r>
      <w:r>
        <w:rPr>
          <w:spacing w:val="9"/>
        </w:rPr>
        <w:t>知识产权局在</w:t>
      </w:r>
      <w:r>
        <w:rPr>
          <w:rFonts w:hint="eastAsia"/>
          <w:spacing w:val="9"/>
          <w:lang w:val="en-US" w:eastAsia="zh-CN"/>
        </w:rPr>
        <w:t>巴彦淖尔市知识产权公共信息“一站式”服务平台</w:t>
      </w:r>
      <w:r>
        <w:rPr>
          <w:spacing w:val="9"/>
        </w:rPr>
        <w:t>上及时公</w:t>
      </w:r>
      <w:r>
        <w:rPr>
          <w:spacing w:val="5"/>
        </w:rPr>
        <w:t>布符合条件的</w:t>
      </w:r>
      <w:r>
        <w:rPr>
          <w:rFonts w:hint="eastAsia"/>
          <w:spacing w:val="5"/>
          <w:lang w:val="en-US" w:eastAsia="zh-CN"/>
        </w:rPr>
        <w:t>旗县区</w:t>
      </w:r>
      <w:r>
        <w:rPr>
          <w:spacing w:val="5"/>
        </w:rPr>
        <w:t>级综合性知识产权公共服务机构名单，并</w:t>
      </w:r>
      <w:r>
        <w:rPr>
          <w:spacing w:val="8"/>
        </w:rPr>
        <w:t>对各地经验和典型案例进行宣传推广。</w:t>
      </w:r>
    </w:p>
    <w:p w14:paraId="4063D11F">
      <w:pPr>
        <w:spacing w:line="460" w:lineRule="auto"/>
        <w:rPr>
          <w:rFonts w:ascii="Arial"/>
          <w:sz w:val="21"/>
        </w:rPr>
      </w:pPr>
    </w:p>
    <w:p w14:paraId="46A98479">
      <w:pPr>
        <w:spacing w:before="114" w:line="225" w:lineRule="auto"/>
        <w:ind w:left="3070"/>
        <w:outlineLvl w:val="0"/>
        <w:rPr>
          <w:rFonts w:ascii="宋体" w:hAnsi="宋体" w:eastAsia="宋体" w:cs="宋体"/>
          <w:sz w:val="35"/>
          <w:szCs w:val="35"/>
        </w:rPr>
      </w:pPr>
      <w:r>
        <w:rPr>
          <w:rFonts w:ascii="宋体" w:hAnsi="宋体" w:eastAsia="宋体" w:cs="宋体"/>
          <w:b/>
          <w:bCs/>
          <w:spacing w:val="5"/>
          <w:sz w:val="35"/>
          <w:szCs w:val="35"/>
        </w:rPr>
        <w:t>第四章</w:t>
      </w:r>
      <w:r>
        <w:rPr>
          <w:rFonts w:hint="eastAsia" w:ascii="宋体" w:hAnsi="宋体" w:eastAsia="宋体" w:cs="宋体"/>
          <w:b/>
          <w:bCs/>
          <w:spacing w:val="5"/>
          <w:sz w:val="35"/>
          <w:szCs w:val="35"/>
          <w:lang w:val="en-US" w:eastAsia="zh-CN"/>
        </w:rPr>
        <w:t xml:space="preserve"> </w:t>
      </w:r>
      <w:r>
        <w:rPr>
          <w:rFonts w:ascii="宋体" w:hAnsi="宋体" w:eastAsia="宋体" w:cs="宋体"/>
          <w:b/>
          <w:bCs/>
          <w:spacing w:val="5"/>
          <w:sz w:val="35"/>
          <w:szCs w:val="35"/>
        </w:rPr>
        <w:t>运行管理</w:t>
      </w:r>
    </w:p>
    <w:p w14:paraId="679ACB71">
      <w:pPr>
        <w:pStyle w:val="2"/>
        <w:spacing w:before="168" w:line="326" w:lineRule="auto"/>
        <w:ind w:left="17" w:firstLine="624"/>
        <w:jc w:val="both"/>
      </w:pPr>
      <w:r>
        <w:rPr>
          <w:rFonts w:ascii="黑体" w:hAnsi="黑体" w:eastAsia="黑体" w:cs="黑体"/>
          <w:spacing w:val="11"/>
        </w:rPr>
        <w:t>第十三条</w:t>
      </w:r>
      <w:r>
        <w:rPr>
          <w:rFonts w:hint="eastAsia" w:ascii="黑体" w:hAnsi="黑体" w:eastAsia="黑体" w:cs="黑体"/>
          <w:spacing w:val="11"/>
          <w:lang w:val="en-US" w:eastAsia="zh-CN"/>
        </w:rPr>
        <w:t xml:space="preserve"> </w:t>
      </w:r>
      <w:r>
        <w:rPr>
          <w:rFonts w:hint="eastAsia"/>
          <w:spacing w:val="11"/>
          <w:lang w:val="en-US" w:eastAsia="zh-CN"/>
        </w:rPr>
        <w:t>旗县区</w:t>
      </w:r>
      <w:r>
        <w:rPr>
          <w:spacing w:val="11"/>
        </w:rPr>
        <w:t>级综合性知识产权公共服务机构应具备</w:t>
      </w:r>
      <w:r>
        <w:rPr>
          <w:spacing w:val="10"/>
        </w:rPr>
        <w:t>组织</w:t>
      </w:r>
      <w:r>
        <w:rPr>
          <w:spacing w:val="3"/>
        </w:rPr>
        <w:t>实施知识产权公共服务的团队，配备2名及以上具有相应业务知</w:t>
      </w:r>
      <w:r>
        <w:rPr>
          <w:spacing w:val="5"/>
        </w:rPr>
        <w:t>识和工作经验的专兼职人员。工作人员每年应当接受上</w:t>
      </w:r>
      <w:r>
        <w:rPr>
          <w:spacing w:val="4"/>
        </w:rPr>
        <w:t>级管理部</w:t>
      </w:r>
      <w:r>
        <w:rPr>
          <w:spacing w:val="8"/>
        </w:rPr>
        <w:t>门或业务指导单位组织的知识产权业务培训。</w:t>
      </w:r>
    </w:p>
    <w:p w14:paraId="5DFCB580">
      <w:pPr>
        <w:spacing w:line="326" w:lineRule="auto"/>
        <w:sectPr>
          <w:footerReference r:id="rId7" w:type="default"/>
          <w:pgSz w:w="11906" w:h="16839"/>
          <w:pgMar w:top="1431" w:right="1473" w:bottom="1553" w:left="1597" w:header="0" w:footer="1275" w:gutter="0"/>
          <w:cols w:space="720" w:num="1"/>
        </w:sectPr>
      </w:pPr>
    </w:p>
    <w:p w14:paraId="14DC818E">
      <w:pPr>
        <w:spacing w:line="264" w:lineRule="auto"/>
        <w:rPr>
          <w:rFonts w:ascii="Arial"/>
          <w:sz w:val="21"/>
        </w:rPr>
      </w:pPr>
    </w:p>
    <w:p w14:paraId="0EEF6C78">
      <w:pPr>
        <w:spacing w:line="264" w:lineRule="auto"/>
        <w:rPr>
          <w:rFonts w:ascii="Arial"/>
          <w:sz w:val="21"/>
        </w:rPr>
      </w:pPr>
    </w:p>
    <w:p w14:paraId="588AF090">
      <w:pPr>
        <w:spacing w:line="265" w:lineRule="auto"/>
        <w:rPr>
          <w:rFonts w:ascii="Arial"/>
          <w:sz w:val="21"/>
        </w:rPr>
      </w:pPr>
    </w:p>
    <w:p w14:paraId="77024D73">
      <w:pPr>
        <w:pStyle w:val="2"/>
        <w:spacing w:before="101" w:line="326" w:lineRule="auto"/>
        <w:ind w:left="2" w:firstLine="638"/>
      </w:pPr>
      <w:r>
        <w:rPr>
          <w:rFonts w:ascii="黑体" w:hAnsi="黑体" w:eastAsia="黑体" w:cs="黑体"/>
          <w:spacing w:val="11"/>
        </w:rPr>
        <w:t>第十四条</w:t>
      </w:r>
      <w:r>
        <w:rPr>
          <w:rFonts w:hint="eastAsia" w:ascii="黑体" w:hAnsi="黑体" w:eastAsia="黑体" w:cs="黑体"/>
          <w:spacing w:val="11"/>
          <w:lang w:val="en-US" w:eastAsia="zh-CN"/>
        </w:rPr>
        <w:t xml:space="preserve"> </w:t>
      </w:r>
      <w:r>
        <w:rPr>
          <w:spacing w:val="11"/>
        </w:rPr>
        <w:t>综合性知识产权公共服务机构应具有</w:t>
      </w:r>
      <w:r>
        <w:rPr>
          <w:spacing w:val="10"/>
        </w:rPr>
        <w:t>稳定</w:t>
      </w:r>
      <w:r>
        <w:rPr>
          <w:spacing w:val="5"/>
        </w:rPr>
        <w:t>开展知识产权公共服务的办公场地、网络环境、硬件设备等基础</w:t>
      </w:r>
      <w:r>
        <w:rPr>
          <w:spacing w:val="7"/>
        </w:rPr>
        <w:t>设施，能够利用知识产权基础信息资源以及信</w:t>
      </w:r>
      <w:r>
        <w:rPr>
          <w:spacing w:val="6"/>
        </w:rPr>
        <w:t>息公共服务产品，</w:t>
      </w:r>
      <w:r>
        <w:rPr>
          <w:spacing w:val="9"/>
        </w:rPr>
        <w:t>为创新主体和社会公众提供免费的知识产权公共服</w:t>
      </w:r>
      <w:r>
        <w:rPr>
          <w:spacing w:val="8"/>
        </w:rPr>
        <w:t>务。</w:t>
      </w:r>
    </w:p>
    <w:p w14:paraId="4A9EAC84">
      <w:pPr>
        <w:pStyle w:val="2"/>
        <w:spacing w:before="49" w:line="323" w:lineRule="auto"/>
        <w:ind w:right="40" w:firstLine="640"/>
      </w:pPr>
      <w:r>
        <w:rPr>
          <w:rFonts w:ascii="黑体" w:hAnsi="黑体" w:eastAsia="黑体" w:cs="黑体"/>
          <w:spacing w:val="11"/>
        </w:rPr>
        <w:t>第十五条</w:t>
      </w:r>
      <w:r>
        <w:rPr>
          <w:rFonts w:hint="eastAsia" w:ascii="黑体" w:hAnsi="黑体" w:eastAsia="黑体" w:cs="黑体"/>
          <w:spacing w:val="11"/>
          <w:lang w:val="en-US" w:eastAsia="zh-CN"/>
        </w:rPr>
        <w:t xml:space="preserve"> </w:t>
      </w:r>
      <w:r>
        <w:rPr>
          <w:spacing w:val="11"/>
        </w:rPr>
        <w:t>综合性知识产权公共服务机构应组织</w:t>
      </w:r>
      <w:r>
        <w:rPr>
          <w:spacing w:val="10"/>
        </w:rPr>
        <w:t>管理</w:t>
      </w:r>
      <w:r>
        <w:rPr>
          <w:spacing w:val="5"/>
        </w:rPr>
        <w:t>机制完善，有健全的内部管理制度，发布公共服务事项清单，不</w:t>
      </w:r>
      <w:r>
        <w:rPr>
          <w:spacing w:val="8"/>
        </w:rPr>
        <w:t>断提升知识产权公共服务的标准化和规范化。</w:t>
      </w:r>
    </w:p>
    <w:p w14:paraId="1DC1D097">
      <w:pPr>
        <w:pStyle w:val="2"/>
        <w:spacing w:before="55" w:line="323" w:lineRule="auto"/>
        <w:ind w:left="10" w:right="40" w:firstLine="630"/>
      </w:pPr>
      <w:r>
        <w:rPr>
          <w:rFonts w:ascii="黑体" w:hAnsi="黑体" w:eastAsia="黑体" w:cs="黑体"/>
          <w:spacing w:val="11"/>
        </w:rPr>
        <w:t>第十六条</w:t>
      </w:r>
      <w:r>
        <w:rPr>
          <w:rFonts w:hint="eastAsia" w:ascii="黑体" w:hAnsi="黑体" w:eastAsia="黑体" w:cs="黑体"/>
          <w:spacing w:val="11"/>
          <w:lang w:val="en-US" w:eastAsia="zh-CN"/>
        </w:rPr>
        <w:t xml:space="preserve"> </w:t>
      </w:r>
      <w:r>
        <w:rPr>
          <w:rFonts w:hint="eastAsia"/>
          <w:spacing w:val="11"/>
          <w:lang w:val="en-US" w:eastAsia="zh-CN"/>
        </w:rPr>
        <w:t>市</w:t>
      </w:r>
      <w:r>
        <w:rPr>
          <w:spacing w:val="11"/>
        </w:rPr>
        <w:t>级和</w:t>
      </w:r>
      <w:r>
        <w:rPr>
          <w:rFonts w:hint="eastAsia"/>
          <w:spacing w:val="11"/>
          <w:lang w:val="en-US" w:eastAsia="zh-CN"/>
        </w:rPr>
        <w:t>旗县区</w:t>
      </w:r>
      <w:r>
        <w:rPr>
          <w:spacing w:val="11"/>
        </w:rPr>
        <w:t>级知识产权管理部门要在制度建</w:t>
      </w:r>
      <w:r>
        <w:rPr>
          <w:spacing w:val="10"/>
        </w:rPr>
        <w:t>设、</w:t>
      </w:r>
      <w:r>
        <w:rPr>
          <w:spacing w:val="5"/>
        </w:rPr>
        <w:t>数据资源、资金经费、业务培训等方面，为</w:t>
      </w:r>
      <w:r>
        <w:rPr>
          <w:rFonts w:hint="eastAsia"/>
          <w:spacing w:val="5"/>
          <w:lang w:val="en-US" w:eastAsia="zh-CN"/>
        </w:rPr>
        <w:t>旗县区</w:t>
      </w:r>
      <w:r>
        <w:rPr>
          <w:spacing w:val="5"/>
        </w:rPr>
        <w:t>级综合性知识产</w:t>
      </w:r>
      <w:r>
        <w:rPr>
          <w:spacing w:val="8"/>
        </w:rPr>
        <w:t>权公共服务机构提供指导或者支持。</w:t>
      </w:r>
    </w:p>
    <w:p w14:paraId="4C4831A0">
      <w:pPr>
        <w:pStyle w:val="2"/>
        <w:spacing w:before="52" w:line="323" w:lineRule="auto"/>
        <w:ind w:left="18" w:right="40" w:firstLine="622"/>
        <w:rPr>
          <w:rFonts w:hint="eastAsia" w:ascii="Arial" w:eastAsia="仿宋"/>
          <w:sz w:val="21"/>
          <w:lang w:val="en-US" w:eastAsia="zh-CN"/>
        </w:rPr>
      </w:pPr>
      <w:r>
        <w:rPr>
          <w:rFonts w:ascii="黑体" w:hAnsi="黑体" w:eastAsia="黑体" w:cs="黑体"/>
          <w:spacing w:val="11"/>
        </w:rPr>
        <w:t>第十七条</w:t>
      </w:r>
      <w:r>
        <w:rPr>
          <w:rFonts w:hint="eastAsia" w:ascii="黑体" w:hAnsi="黑体" w:eastAsia="黑体" w:cs="黑体"/>
          <w:spacing w:val="11"/>
          <w:lang w:val="en-US" w:eastAsia="zh-CN"/>
        </w:rPr>
        <w:t xml:space="preserve"> </w:t>
      </w:r>
      <w:r>
        <w:rPr>
          <w:spacing w:val="11"/>
        </w:rPr>
        <w:t>综合性知识产权公共服务机构要认真</w:t>
      </w:r>
      <w:r>
        <w:rPr>
          <w:spacing w:val="10"/>
        </w:rPr>
        <w:t>总结</w:t>
      </w:r>
      <w:r>
        <w:rPr>
          <w:spacing w:val="5"/>
        </w:rPr>
        <w:t>实践经验，挖掘典型案</w:t>
      </w:r>
      <w:r>
        <w:rPr>
          <w:rFonts w:hint="eastAsia"/>
          <w:spacing w:val="5"/>
          <w:lang w:val="en-US" w:eastAsia="zh-CN"/>
        </w:rPr>
        <w:t>例。</w:t>
      </w:r>
      <w:bookmarkStart w:id="0" w:name="_GoBack"/>
      <w:bookmarkEnd w:id="0"/>
    </w:p>
    <w:sectPr>
      <w:footerReference r:id="rId8" w:type="default"/>
      <w:pgSz w:w="11906" w:h="16839"/>
      <w:pgMar w:top="1431" w:right="1391" w:bottom="1553" w:left="1505" w:header="0" w:footer="127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B27F935-A8F6-487C-AA17-7C4A22A1F9FF}"/>
  </w:font>
  <w:font w:name="黑体">
    <w:panose1 w:val="02010609060101010101"/>
    <w:charset w:val="86"/>
    <w:family w:val="auto"/>
    <w:pitch w:val="default"/>
    <w:sig w:usb0="800002BF" w:usb1="38CF7CFA" w:usb2="00000016" w:usb3="00000000" w:csb0="00040001" w:csb1="00000000"/>
    <w:embedRegular r:id="rId2" w:fontKey="{C3181C65-74C8-4DAF-A980-84A1CCE472B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3" w:fontKey="{BB4E582C-AEA7-43AB-B873-271D7F9FC9DC}"/>
  </w:font>
  <w:font w:name="方正仿宋_GB2312">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00000001" w:usb1="08000000" w:usb2="00000000" w:usb3="00000000" w:csb0="00040000" w:csb1="00000000"/>
    <w:embedRegular r:id="rId4" w:fontKey="{7BCA8266-0968-43F3-9268-CC78E6F7B5D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44404">
    <w:pPr>
      <w:spacing w:line="177" w:lineRule="auto"/>
      <w:ind w:left="7652"/>
      <w:rPr>
        <w:rFonts w:ascii="宋体" w:hAnsi="宋体" w:eastAsia="宋体" w:cs="宋体"/>
        <w:sz w:val="28"/>
        <w:szCs w:val="28"/>
      </w:rPr>
    </w:pPr>
    <w:r>
      <w:rPr>
        <w:rFonts w:ascii="宋体" w:hAnsi="宋体" w:eastAsia="宋体" w:cs="宋体"/>
        <w:spacing w:val="-13"/>
        <w:sz w:val="28"/>
        <w:szCs w:val="28"/>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ED03A">
    <w:pPr>
      <w:spacing w:before="1" w:line="176" w:lineRule="auto"/>
      <w:ind w:left="206"/>
      <w:rPr>
        <w:rFonts w:ascii="宋体" w:hAnsi="宋体" w:eastAsia="宋体" w:cs="宋体"/>
        <w:sz w:val="28"/>
        <w:szCs w:val="28"/>
      </w:rPr>
    </w:pPr>
    <w:r>
      <w:rPr>
        <w:rFonts w:ascii="宋体" w:hAnsi="宋体" w:eastAsia="宋体" w:cs="宋体"/>
        <w:spacing w:val="-8"/>
        <w:sz w:val="28"/>
        <w:szCs w:val="28"/>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9E4D7">
    <w:pPr>
      <w:spacing w:before="1" w:line="176" w:lineRule="auto"/>
      <w:ind w:left="7653"/>
      <w:rPr>
        <w:rFonts w:ascii="宋体" w:hAnsi="宋体" w:eastAsia="宋体" w:cs="宋体"/>
        <w:sz w:val="28"/>
        <w:szCs w:val="28"/>
      </w:rPr>
    </w:pPr>
    <w:r>
      <w:rPr>
        <w:rFonts w:ascii="宋体" w:hAnsi="宋体" w:eastAsia="宋体" w:cs="宋体"/>
        <w:spacing w:val="-8"/>
        <w:sz w:val="28"/>
        <w:szCs w:val="28"/>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35DDE">
    <w:pPr>
      <w:spacing w:before="1" w:line="176" w:lineRule="auto"/>
      <w:ind w:left="7745"/>
      <w:rPr>
        <w:rFonts w:ascii="宋体" w:hAnsi="宋体" w:eastAsia="宋体" w:cs="宋体"/>
        <w:sz w:val="28"/>
        <w:szCs w:val="28"/>
      </w:rPr>
    </w:pPr>
    <w:r>
      <w:rPr>
        <w:rFonts w:ascii="宋体" w:hAnsi="宋体" w:eastAsia="宋体" w:cs="宋体"/>
        <w:spacing w:val="-7"/>
        <w:sz w:val="28"/>
        <w:szCs w:val="2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TA0YWU1MDg5NWE2ZDUwYTIzY2Y2NjljODg1ZjgwNjkifQ=="/>
  </w:docVars>
  <w:rsids>
    <w:rsidRoot w:val="00000000"/>
    <w:rsid w:val="201349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仿宋" w:hAnsi="仿宋" w:eastAsia="仿宋" w:cs="仿宋"/>
      <w:sz w:val="28"/>
      <w:szCs w:val="2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2258</Words>
  <Characters>2304</Characters>
  <TotalTime>12</TotalTime>
  <ScaleCrop>false</ScaleCrop>
  <LinksUpToDate>false</LinksUpToDate>
  <CharactersWithSpaces>2527</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2023-07-21T11:12:00Z</dcterms:created>
  <dc:creator>打字室</dc:creator>
  <cp:lastModifiedBy>樱仔</cp:lastModifiedBy>
  <dcterms:modified xsi:type="dcterms:W3CDTF">2024-10-30T08:46:44Z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2024-10-30T15:55:21Z</vt:filetime>
  </property>
  <property fmtid="{D5CDD505-2E9C-101B-9397-08002B2CF9AE}" pid="4" name="KSOProductBuildVer">
    <vt:lpwstr>2052-12.1.0.18608</vt:lpwstr>
  </property>
  <property fmtid="{D5CDD505-2E9C-101B-9397-08002B2CF9AE}" pid="5" name="ICV">
    <vt:lpwstr>777C9F2086BD4A688CB29E818DF869CA_12</vt:lpwstr>
  </property>
</Properties>
</file>